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B2" w:rsidRPr="007164B2" w:rsidRDefault="007164B2" w:rsidP="007164B2">
      <w:pPr>
        <w:shd w:val="clear" w:color="auto" w:fill="FFFFFF"/>
        <w:spacing w:after="255" w:line="300" w:lineRule="atLeast"/>
        <w:outlineLvl w:val="1"/>
        <w:rPr>
          <w:rFonts w:ascii="Arial" w:eastAsia="Times New Roman" w:hAnsi="Arial" w:cs="Arial"/>
          <w:b/>
          <w:bCs/>
          <w:color w:val="4D4D4D"/>
          <w:sz w:val="27"/>
          <w:szCs w:val="27"/>
          <w:lang w:eastAsia="ru-RU"/>
        </w:rPr>
      </w:pPr>
      <w:r w:rsidRPr="007164B2">
        <w:rPr>
          <w:rFonts w:ascii="Arial" w:eastAsia="Times New Roman" w:hAnsi="Arial" w:cs="Arial"/>
          <w:b/>
          <w:bCs/>
          <w:color w:val="4D4D4D"/>
          <w:sz w:val="27"/>
          <w:szCs w:val="27"/>
          <w:lang w:eastAsia="ru-RU"/>
        </w:rPr>
        <w:t>Письмо Министерства просвещения РФ от 28 января 2020 г. № ВБ-85/12 “О направлении методических рекомендаций”</w:t>
      </w:r>
    </w:p>
    <w:p w:rsidR="007164B2" w:rsidRPr="007164B2" w:rsidRDefault="007164B2" w:rsidP="007164B2">
      <w:pPr>
        <w:shd w:val="clear" w:color="auto" w:fill="FFFFFF"/>
        <w:spacing w:after="180" w:line="240" w:lineRule="auto"/>
        <w:rPr>
          <w:rFonts w:ascii="Arial" w:eastAsia="Times New Roman" w:hAnsi="Arial" w:cs="Arial"/>
          <w:color w:val="333333"/>
          <w:sz w:val="21"/>
          <w:szCs w:val="21"/>
          <w:lang w:eastAsia="ru-RU"/>
        </w:rPr>
      </w:pPr>
      <w:r w:rsidRPr="007164B2">
        <w:rPr>
          <w:rFonts w:ascii="Arial" w:eastAsia="Times New Roman" w:hAnsi="Arial" w:cs="Arial"/>
          <w:color w:val="333333"/>
          <w:sz w:val="21"/>
          <w:szCs w:val="21"/>
          <w:lang w:eastAsia="ru-RU"/>
        </w:rPr>
        <w:t>26 февраля 2020</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7164B2">
        <w:rPr>
          <w:rFonts w:ascii="Arial" w:eastAsia="Times New Roman" w:hAnsi="Arial" w:cs="Arial"/>
          <w:color w:val="333333"/>
          <w:sz w:val="23"/>
          <w:szCs w:val="23"/>
          <w:lang w:eastAsia="ru-RU"/>
        </w:rPr>
        <w:t>В целях повышения эффективности работы по реализации установленных требований к антитеррористической защищенности объектов (территорий) образовательных организаций Минпросвещения России направляет </w:t>
      </w:r>
      <w:hyperlink r:id="rId4" w:anchor="1000" w:history="1">
        <w:r w:rsidRPr="007164B2">
          <w:rPr>
            <w:rFonts w:ascii="Arial" w:eastAsia="Times New Roman" w:hAnsi="Arial" w:cs="Arial"/>
            <w:color w:val="808080"/>
            <w:sz w:val="23"/>
            <w:szCs w:val="23"/>
            <w:u w:val="single"/>
            <w:bdr w:val="none" w:sz="0" w:space="0" w:color="auto" w:frame="1"/>
            <w:lang w:eastAsia="ru-RU"/>
          </w:rPr>
          <w:t>методические рекомендации</w:t>
        </w:r>
      </w:hyperlink>
      <w:r w:rsidRPr="007164B2">
        <w:rPr>
          <w:rFonts w:ascii="Arial" w:eastAsia="Times New Roman" w:hAnsi="Arial" w:cs="Arial"/>
          <w:color w:val="333333"/>
          <w:sz w:val="23"/>
          <w:szCs w:val="23"/>
          <w:lang w:eastAsia="ru-RU"/>
        </w:rPr>
        <w:t>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для руководства и использования в работе.</w:t>
      </w:r>
    </w:p>
    <w:p w:rsidR="007164B2" w:rsidRPr="007164B2" w:rsidRDefault="00D43000" w:rsidP="007164B2">
      <w:pPr>
        <w:shd w:val="clear" w:color="auto" w:fill="FFFFFF"/>
        <w:spacing w:after="255" w:line="270" w:lineRule="atLeast"/>
        <w:rPr>
          <w:rFonts w:ascii="Arial" w:eastAsia="Times New Roman" w:hAnsi="Arial" w:cs="Arial"/>
          <w:color w:val="333333"/>
          <w:sz w:val="23"/>
          <w:szCs w:val="23"/>
          <w:lang w:eastAsia="ru-RU"/>
        </w:rPr>
      </w:pPr>
      <w:hyperlink r:id="rId5" w:anchor="1000" w:history="1">
        <w:r w:rsidR="007164B2" w:rsidRPr="007164B2">
          <w:rPr>
            <w:rFonts w:ascii="Arial" w:eastAsia="Times New Roman" w:hAnsi="Arial" w:cs="Arial"/>
            <w:color w:val="808080"/>
            <w:sz w:val="23"/>
            <w:szCs w:val="23"/>
            <w:u w:val="single"/>
            <w:bdr w:val="none" w:sz="0" w:space="0" w:color="auto" w:frame="1"/>
            <w:lang w:eastAsia="ru-RU"/>
          </w:rPr>
          <w:t>Приложение</w:t>
        </w:r>
      </w:hyperlink>
      <w:r w:rsidR="007164B2" w:rsidRPr="007164B2">
        <w:rPr>
          <w:rFonts w:ascii="Arial" w:eastAsia="Times New Roman" w:hAnsi="Arial" w:cs="Arial"/>
          <w:color w:val="333333"/>
          <w:sz w:val="23"/>
          <w:szCs w:val="23"/>
          <w:lang w:eastAsia="ru-RU"/>
        </w:rPr>
        <w:t>: на 34 л. в 1 экз.</w:t>
      </w:r>
    </w:p>
    <w:tbl>
      <w:tblPr>
        <w:tblW w:w="0" w:type="auto"/>
        <w:tblCellMar>
          <w:top w:w="15" w:type="dxa"/>
          <w:left w:w="15" w:type="dxa"/>
          <w:bottom w:w="15" w:type="dxa"/>
          <w:right w:w="15" w:type="dxa"/>
        </w:tblCellMar>
        <w:tblLook w:val="04A0"/>
      </w:tblPr>
      <w:tblGrid>
        <w:gridCol w:w="1177"/>
        <w:gridCol w:w="1177"/>
      </w:tblGrid>
      <w:tr w:rsidR="007164B2" w:rsidRPr="007164B2" w:rsidTr="007164B2">
        <w:tc>
          <w:tcPr>
            <w:tcW w:w="2500" w:type="pct"/>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2500" w:type="pct"/>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B.C. Басюк</w:t>
            </w:r>
          </w:p>
        </w:tc>
      </w:tr>
    </w:tbl>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Методические рекомендации</w:t>
      </w:r>
      <w:r w:rsidRPr="007164B2">
        <w:rPr>
          <w:rFonts w:ascii="Arial" w:eastAsia="Times New Roman" w:hAnsi="Arial" w:cs="Arial"/>
          <w:b/>
          <w:bCs/>
          <w:color w:val="333333"/>
          <w:sz w:val="26"/>
          <w:szCs w:val="26"/>
          <w:lang w:eastAsia="ru-RU"/>
        </w:rPr>
        <w:br/>
        <w:t>«Организация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Методические рекомендации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методические рекомендации), разработаны в соответствии с Федеральным законом от 6 марта 2006 г. № 35-ФЗ «О противодействии терроризму» в целях реализации требований к антитеррористической защищенности объектов (территорий), утвержденных постановлением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 1006)</w:t>
      </w:r>
      <w:hyperlink r:id="rId6" w:anchor="1111" w:history="1">
        <w:r w:rsidRPr="007164B2">
          <w:rPr>
            <w:rFonts w:ascii="Arial" w:eastAsia="Times New Roman" w:hAnsi="Arial" w:cs="Arial"/>
            <w:color w:val="808080"/>
            <w:sz w:val="20"/>
            <w:szCs w:val="20"/>
            <w:u w:val="single"/>
            <w:bdr w:val="none" w:sz="0" w:space="0" w:color="auto" w:frame="1"/>
            <w:vertAlign w:val="superscript"/>
            <w:lang w:eastAsia="ru-RU"/>
          </w:rPr>
          <w:t>1</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соответствии с пунктом 3 постановления Правительства Российской Федерации от 7 ноября 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относящиеся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утратившимисилу некоторых актов Правительства Российской Федерации» признано утратившим силу постановление Правительства Российской Федерации от 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Методические рекомендации предназначены для применения в практической деятельности по обеспечению антитеррористической защищенности объектов (территорий) Минпросвещения России и объектов (территорий), относящихся к сфере деятельности Минпросвещения России, руководителями органов (организаций), а также должностными лицами при организации и проведении обследования объектов (территорий), подготовке актов обследования и категорирования объектов (территорий) организаций, при определении перечня необходимых мероприятий по обеспечению антитеррористической защищенности с учетом установленной категории опасности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Методические рекомендации разъясняют порядок организации деятельности по обеспечению антитеррористической защищенности объектов (территорий), разработки, согласования и утверждения организационно-распорядительных документов по обеспечению антитеррористической защищенности, заполнения актов обследования и категорирования объектов (территорий).</w:t>
      </w:r>
    </w:p>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1. Нормативные правовые акты для применения при организации деятельности по обеспечению антитеррористической защищенности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 Гражданский кодекс Российской Федерации (часть первая) от 30 ноября 1994 г. № 51-ФЗ.</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 Кодекс Российской Федерации об административных правонарушениях от 30 декабря 2001 г. № 195-ФЗ.</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3. Федеральный закон от 29 декабря 2012 г. № 273-ФЗ «Об образовании в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4. Федеральный закон от 7 февраля 2011 г. № 3-ФЗ (ред. от 18.07.2019) «О полиции».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 Федеральный закон от 30 декабря 2009 г. № 384-ФЗ «Технический регламент о безопасности зданий и сооружений».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 Федеральный закон от 6 марта 2006 г. № 35-ФЗ «О противодействии терроризму».</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 Федеральный закон от 6 октября 2003 г. № 131-ФЗ «Об общих принципах организации местного самоуправления в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8. Федеральный закон от 27 декабря 2002 г. № 184-ФЗ «О техническом регулировании».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9.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10. Федеральный закон от 21 декабря 1994 г. № 68-ФЗ «О защите населения и территорий от чрезвычайных ситуаций природного и техногенного характера».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11. Федеральный закон от 17 января 1992 г. № 2202-1 «О прокуратуре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12. Закон Российской Федерации от 21 июля 1993 г. № 5485-1 «О государственной тайне»</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13. Закон Российской Федерации от 11 марта 1992 г. № 2487-1 «О частной детективной и охранной деятельности в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14. Указ Президента Российской Федерации от 15 мая 2018 г. № 215 «О структуре федеральных органов исполнительной власти».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15. Указ Президента Российской Федерации от 5 апреля 2016 г. № 157 «Вопросы Федеральной службы войск национальной гвардии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16. Указ Президента Российской Федерации от 30 сентября 2016 г. № 510 «О федеральной службе войск национальной гвардии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17.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(вместе с Положением о Национальном антитеррористическом комитете).</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18. Указ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19. Указ Президента Российской Федерации от 15 февраля 2006 г. № 116 «О мерах по противодействию терроризму».</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20. Постановление Правительства Российской Федерации от 7 ноября 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логанов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21. 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22. Постановление Правительства Российской Федерации от 27 мая 2017 г. №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23.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24. 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25. Постановление Правительства Российской Федерации от 23 июня 2011 г. № 498 (ред. от 2 августа 2019 г.) «О некоторых вопросах осуществления частной детективной (сыскной) и частной охранной деятельности».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26. Постановление Правительства Российской Федерации от 21 ноября 2011 г. № 958 (ред. от 20 ноября 2018 г.)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27. Приказ Минтруда России от 11 декабря 2015 г. №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 40478).</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28. Приказ Минрегиона России от 5 июля 2011 г. №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29. Приказ Минстроя России от 3 декабря 2016 г. № 876/пр «Об утверждении изменений № 2 СП 118.13330.2012. «СНиП 31-06-2009 общественные здания и сооружения»).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30. 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 октября 2013 г. № 1185-ст).</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31. ГОСТ Р 51241-2008 «Национальный стандарт Российской Федерации.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w:t>
      </w:r>
    </w:p>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2. Термины, определения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настоящих методических рекомендациях применяются следующие основные термины и определения: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 xml:space="preserve">объекты (территории) -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w:t>
      </w:r>
      <w:r w:rsidRPr="007164B2">
        <w:rPr>
          <w:rFonts w:ascii="Arial" w:eastAsia="Times New Roman" w:hAnsi="Arial" w:cs="Arial"/>
          <w:color w:val="333333"/>
          <w:sz w:val="23"/>
          <w:szCs w:val="23"/>
          <w:lang w:eastAsia="ru-RU"/>
        </w:rPr>
        <w:lastRenderedPageBreak/>
        <w:t>деятельности Министерства просвещения Российской Федерации (далее - органы (организации), являющиеся правообладателями объектов (территорий)</w:t>
      </w:r>
      <w:hyperlink r:id="rId7" w:anchor="1112" w:history="1">
        <w:r w:rsidRPr="007164B2">
          <w:rPr>
            <w:rFonts w:ascii="Arial" w:eastAsia="Times New Roman" w:hAnsi="Arial" w:cs="Arial"/>
            <w:color w:val="808080"/>
            <w:sz w:val="20"/>
            <w:szCs w:val="20"/>
            <w:u w:val="single"/>
            <w:bdr w:val="none" w:sz="0" w:space="0" w:color="auto" w:frame="1"/>
            <w:vertAlign w:val="superscript"/>
            <w:lang w:eastAsia="ru-RU"/>
          </w:rPr>
          <w:t>2</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антитеррористическая защищенность объекта - состояние защищенности здания, строения, сооружения или иного объекта, препятствующее совершению на нем террористического акта;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безопасность объектов (территорий) - состояние защищенности объектов (территорий) от актов незаконного вмешательства;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инженерно-техническая укрепленность объекта (территории)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инженерно-технические средства охраны -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контрольно-пропускной пункт - специально оборудованное место на объекте (территории) для осуществления контроля в установленном порядке за проходом людей и проездом транспортных средств на территорию объекта;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критические элементы объекта (территории) - потенциально опасные элементы (участки)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обеспечение антитеррористической защищенности объектов (территорий)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 с целью предотвращения совершения террористического акта и (или) минимизацию его последствий;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паспорт безопасности объекта (территории) - документ, содержащий информацию об обеспечении антитеррористической защищенности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потенциально опасные участки -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правообладателем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 xml:space="preserve">правообладателем территорий (земельных участков),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w:t>
      </w:r>
      <w:r w:rsidRPr="007164B2">
        <w:rPr>
          <w:rFonts w:ascii="Arial" w:eastAsia="Times New Roman" w:hAnsi="Arial" w:cs="Arial"/>
          <w:color w:val="333333"/>
          <w:sz w:val="23"/>
          <w:szCs w:val="23"/>
          <w:lang w:eastAsia="ru-RU"/>
        </w:rPr>
        <w:lastRenderedPageBreak/>
        <w:t>(бюджетным, казенным, автономным), являются организации, которым передан этот земельный участок;</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система контроля и управления доступом - совокупность совместно действующих технических средств, предназначенных для контроля и управления доступом и обладающих технической, информационной, программной и эксплуатационной совместимостью;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средства контроля и управления доступом - механические, электромеханические устройства и конструкции, электрические, электронные, электронные программируемые устройства, программные средства, обеспечивающие реализацию контроля и управления доступом;</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система обеспечения вызова экстренных оперативных служб по единому номеру «112» - система, предусматривающая передачу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требования обеспечения безопасности объектов (территорий) и требования антитеррористической защищенности объектов (территорий) - правила, выполнение и соблюдение которых обеспечивает безопасность объектов (территорий) и антитеррористическую защищенность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уязвимые места -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экспертная оценка состояния антитеррористической защищенности и безопасности охраняемого объекта (территории) - процесс установления соответствия защищенности объекта (территории) предъявляемым требованиям к его антитеррористической защищенности и инженерно-технической укрепленности.</w:t>
      </w:r>
    </w:p>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3. Организация деятельности по обеспечению антитеррористической защищенности и безопасности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целях установления дифференцированных требований к обеспечению антитеррористической защищенности (далее - АТЗ)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В соответствии с постановлением № 1006 устанавливаются следующие категории опасности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а) объекты (территории) первой категории опасности: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5 и более террористических актов;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б) объекты (территории) второй категории опасности: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3 до 4 террористических актов;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объекты (территории) третьей категории опасности: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1 до 2 террористических актов;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г) объекты (территории) четвертой категории опасности: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расположенные на территории субъекта Российской Федерации, на которых в течение последних 12 месяцев не зафиксировано совершения (попыток к совершению) террористических актов;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В целях обеспечения АТЗ объектов (территорий) независимо от присвоенной им категории опасности осуществляется их оснащение бесперебойными и устойчивыми инженерно-техническими средствами и системами обеспечения безопасности.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Для обеспечения АТЗ в соответствии с требованиями к АТЗ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 1006 (далее - требования), руководитель организации - правообладателя объектов (территорий) (далее - организация-правообладатель) организует разработку, согласование (при необходимости) и утверждение организационно-распорядительных документов организации по обеспечению АТЗ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 План мероприятий организации по исполнению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4. Приказ об обследовании и категорировании объекта (территории) и разработке паспорта безопасности объекта (территории) (</w:t>
      </w:r>
      <w:hyperlink r:id="rId8" w:anchor="2000" w:history="1">
        <w:r w:rsidRPr="007164B2">
          <w:rPr>
            <w:rFonts w:ascii="Arial" w:eastAsia="Times New Roman" w:hAnsi="Arial" w:cs="Arial"/>
            <w:color w:val="808080"/>
            <w:sz w:val="23"/>
            <w:szCs w:val="23"/>
            <w:u w:val="single"/>
            <w:bdr w:val="none" w:sz="0" w:space="0" w:color="auto" w:frame="1"/>
            <w:lang w:eastAsia="ru-RU"/>
          </w:rPr>
          <w:t>приложение</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 Акт обследования и категорирования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hyperlink r:id="rId9" w:anchor="1113" w:history="1">
        <w:r w:rsidRPr="007164B2">
          <w:rPr>
            <w:rFonts w:ascii="Arial" w:eastAsia="Times New Roman" w:hAnsi="Arial" w:cs="Arial"/>
            <w:color w:val="808080"/>
            <w:sz w:val="20"/>
            <w:szCs w:val="20"/>
            <w:u w:val="single"/>
            <w:bdr w:val="none" w:sz="0" w:space="0" w:color="auto" w:frame="1"/>
            <w:vertAlign w:val="superscript"/>
            <w:lang w:eastAsia="ru-RU"/>
          </w:rPr>
          <w:t>3</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9. Положение (инструкция) об организации пропускного и внутриобъектового режимов.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10. План действий при установлении уровней террористической опасности</w:t>
      </w:r>
      <w:hyperlink r:id="rId10" w:anchor="1114" w:history="1">
        <w:r w:rsidRPr="007164B2">
          <w:rPr>
            <w:rFonts w:ascii="Arial" w:eastAsia="Times New Roman" w:hAnsi="Arial" w:cs="Arial"/>
            <w:color w:val="808080"/>
            <w:sz w:val="20"/>
            <w:szCs w:val="20"/>
            <w:u w:val="single"/>
            <w:bdr w:val="none" w:sz="0" w:space="0" w:color="auto" w:frame="1"/>
            <w:vertAlign w:val="superscript"/>
            <w:lang w:eastAsia="ru-RU"/>
          </w:rPr>
          <w:t>4</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Руководитель организации-правообладателя отвечает за обеспечение АТЗ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АТЗ).</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соответствии с уставом организации руководитель организации имеет право делегировать часть полномочий своим заместителям.</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Полномочия должностных лиц организации-правообладателя по обеспечению АТЗ объектов (территорий), вносимые в должностные регламенты (инструкции):</w:t>
      </w:r>
    </w:p>
    <w:tbl>
      <w:tblPr>
        <w:tblW w:w="0" w:type="auto"/>
        <w:tblCellMar>
          <w:top w:w="15" w:type="dxa"/>
          <w:left w:w="15" w:type="dxa"/>
          <w:bottom w:w="15" w:type="dxa"/>
          <w:right w:w="15" w:type="dxa"/>
        </w:tblCellMar>
        <w:tblLook w:val="04A0"/>
      </w:tblPr>
      <w:tblGrid>
        <w:gridCol w:w="4190"/>
        <w:gridCol w:w="5195"/>
      </w:tblGrid>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Должностное лицо</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Должностные обязанности</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Руководитель организации</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Общее руководство обеспечением АТЗ объектов (территорий) организации (утверждение паспорта безопасности объекта (территории)</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Заместители руководителя организации</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Планирование мероприятий по обеспечению АТЗ объектов (территорий); ресурсное обеспечение мероприятий по АТЗ объектов (территорий); координация деятельности подразделений и должностных лиц организации по обеспечению АТЗ объектов (территорий);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безопасности</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xml:space="preserve">Должностные лица организации, ответственные за проведение мероприятий по обеспечению АТЗ </w:t>
            </w:r>
            <w:r w:rsidRPr="007164B2">
              <w:rPr>
                <w:rFonts w:ascii="Times New Roman" w:eastAsia="Times New Roman" w:hAnsi="Times New Roman" w:cs="Times New Roman"/>
                <w:sz w:val="24"/>
                <w:szCs w:val="24"/>
                <w:lang w:eastAsia="ru-RU"/>
              </w:rPr>
              <w:lastRenderedPageBreak/>
              <w:t>объектов</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lastRenderedPageBreak/>
              <w:t xml:space="preserve">Участие в разработке проектов организационно-распорядительных документов организации в части обеспечения АТЗ объектов (территорий); </w:t>
            </w:r>
            <w:r w:rsidRPr="007164B2">
              <w:rPr>
                <w:rFonts w:ascii="Times New Roman" w:eastAsia="Times New Roman" w:hAnsi="Times New Roman" w:cs="Times New Roman"/>
                <w:sz w:val="24"/>
                <w:szCs w:val="24"/>
                <w:lang w:eastAsia="ru-RU"/>
              </w:rPr>
              <w:lastRenderedPageBreak/>
              <w:t>участие в планировании и выполнении мероприятий по обеспечению АТЗ объектов (территорий)</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lastRenderedPageBreak/>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Руководство мероприятиями по АТЗ объектов (территорий) в соответствии с требованиями и организационно-распорядительными документами организации</w:t>
            </w:r>
          </w:p>
        </w:tc>
      </w:tr>
    </w:tbl>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4. Сроки проведения категорирования и паспортизации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Постановлением № 1006 установлены сроки проведения категорирования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создание комиссии по обследованию и категорированию объекта (территории) в отношении функционирующего (эксплуатируемого) объекта (территории) - в течение 2 месяцев со дня утверждения настоящих требований</w:t>
      </w:r>
      <w:hyperlink r:id="rId11" w:anchor="1115" w:history="1">
        <w:r w:rsidRPr="007164B2">
          <w:rPr>
            <w:rFonts w:ascii="Arial" w:eastAsia="Times New Roman" w:hAnsi="Arial" w:cs="Arial"/>
            <w:color w:val="808080"/>
            <w:sz w:val="20"/>
            <w:szCs w:val="20"/>
            <w:u w:val="single"/>
            <w:bdr w:val="none" w:sz="0" w:space="0" w:color="auto" w:frame="1"/>
            <w:vertAlign w:val="superscript"/>
            <w:lang w:eastAsia="ru-RU"/>
          </w:rPr>
          <w:t>5</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создание комиссии по обследованию и категорированию объекта (территории) при вводе в эксплуатацию нового объекта (территории) - в течение 3 месяцев со дня окончания мероприятий по его вводу в эксплуатацию</w:t>
      </w:r>
      <w:hyperlink r:id="rId12" w:anchor="1116" w:history="1">
        <w:r w:rsidRPr="007164B2">
          <w:rPr>
            <w:rFonts w:ascii="Arial" w:eastAsia="Times New Roman" w:hAnsi="Arial" w:cs="Arial"/>
            <w:color w:val="808080"/>
            <w:sz w:val="20"/>
            <w:szCs w:val="20"/>
            <w:u w:val="single"/>
            <w:bdr w:val="none" w:sz="0" w:space="0" w:color="auto" w:frame="1"/>
            <w:vertAlign w:val="superscript"/>
            <w:lang w:eastAsia="ru-RU"/>
          </w:rPr>
          <w:t>6</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работа комиссии по обследованию и категорированию объекта (территории) осуществляется в срок, не превышающий 30 рабочих дней со дня создания комиссии</w:t>
      </w:r>
      <w:hyperlink r:id="rId13" w:anchor="1117" w:history="1">
        <w:r w:rsidRPr="007164B2">
          <w:rPr>
            <w:rFonts w:ascii="Arial" w:eastAsia="Times New Roman" w:hAnsi="Arial" w:cs="Arial"/>
            <w:color w:val="808080"/>
            <w:sz w:val="20"/>
            <w:szCs w:val="20"/>
            <w:u w:val="single"/>
            <w:bdr w:val="none" w:sz="0" w:space="0" w:color="auto" w:frame="1"/>
            <w:vertAlign w:val="superscript"/>
            <w:lang w:eastAsia="ru-RU"/>
          </w:rPr>
          <w:t>7</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hyperlink r:id="rId14" w:anchor="1118" w:history="1">
        <w:r w:rsidRPr="007164B2">
          <w:rPr>
            <w:rFonts w:ascii="Arial" w:eastAsia="Times New Roman" w:hAnsi="Arial" w:cs="Arial"/>
            <w:color w:val="808080"/>
            <w:sz w:val="20"/>
            <w:szCs w:val="20"/>
            <w:u w:val="single"/>
            <w:bdr w:val="none" w:sz="0" w:space="0" w:color="auto" w:frame="1"/>
            <w:vertAlign w:val="superscript"/>
            <w:lang w:eastAsia="ru-RU"/>
          </w:rPr>
          <w:t>8</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w:t>
      </w:r>
      <w:hyperlink r:id="rId15" w:anchor="1119" w:history="1">
        <w:r w:rsidRPr="007164B2">
          <w:rPr>
            <w:rFonts w:ascii="Arial" w:eastAsia="Times New Roman" w:hAnsi="Arial" w:cs="Arial"/>
            <w:color w:val="808080"/>
            <w:sz w:val="20"/>
            <w:szCs w:val="20"/>
            <w:u w:val="single"/>
            <w:bdr w:val="none" w:sz="0" w:space="0" w:color="auto" w:frame="1"/>
            <w:vertAlign w:val="superscript"/>
            <w:lang w:eastAsia="ru-RU"/>
          </w:rPr>
          <w:t>9</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5. Порядок экспертной оценки состояния антитеррористической защищенности и безопасности объектов (территорий), организация и проведение обследования и категорирования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Для экспертной оценки состояния АТЗ и безопасности объектов (территорий) руководитель организации-правообладателя издает приказ об обследовании и категорировании объекта (территории) и разработке паспорта безопасности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Приказом утверждается состав комиссии с указанием фамилии, имени, отчества и занимаемой должности.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включаются в состав комиссии по предварительному согласованию.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Результаты обследования объекта (территории) вносятся в акт обследования и категорирования объектов (территорий), который содержит обязательные элементы: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ограничительную пометку «Для служебного пользования, экз. № ___» с учетом содержащихся в акте сведений;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реквизит «УТВЕРЖДАЮ», должность, подпись, инициалы и фамилию председателя комиссии, дату утверждения;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состав комиссии с указанием фамилии, имени, отчества и занимаемой должности каждого члена комиссии;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наименование объекта (территории) обследования, адрес его фактического местонахождения;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установленные в результате обследования количественные показатели: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w:t>
      </w:r>
      <w:hyperlink r:id="rId16" w:anchor="11110" w:history="1">
        <w:r w:rsidRPr="007164B2">
          <w:rPr>
            <w:rFonts w:ascii="Arial" w:eastAsia="Times New Roman" w:hAnsi="Arial" w:cs="Arial"/>
            <w:color w:val="808080"/>
            <w:sz w:val="20"/>
            <w:szCs w:val="20"/>
            <w:u w:val="single"/>
            <w:bdr w:val="none" w:sz="0" w:space="0" w:color="auto" w:frame="1"/>
            <w:vertAlign w:val="superscript"/>
            <w:lang w:eastAsia="ru-RU"/>
          </w:rPr>
          <w:t>10</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б)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Данный пункт определяет конкретную численность людей (показатель). Показатель должен соответствовать максимальной численности людей, находящихся на объекте (территории) в рабочие дни, в соответствии с режимом работы объекта (территории), учитывающим расписание деятельности организации: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максимальное число детей, соответствующее списочному составу;</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количество привлеченных специалистов в соответствии со штатной численностью;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иные лица, в том числе арендаторы;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лица, осуществляющие безвозмездное пользование имуществом, находящимся на объекте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сотрудники охранных организаций;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прогнозируемый размер возможного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на момент проведения категорирования объекта (территории), без дополнительных расчетов</w:t>
      </w:r>
      <w:hyperlink r:id="rId17" w:anchor="11111" w:history="1">
        <w:r w:rsidRPr="007164B2">
          <w:rPr>
            <w:rFonts w:ascii="Arial" w:eastAsia="Times New Roman" w:hAnsi="Arial" w:cs="Arial"/>
            <w:color w:val="808080"/>
            <w:sz w:val="20"/>
            <w:szCs w:val="20"/>
            <w:u w:val="single"/>
            <w:bdr w:val="none" w:sz="0" w:space="0" w:color="auto" w:frame="1"/>
            <w:vertAlign w:val="superscript"/>
            <w:lang w:eastAsia="ru-RU"/>
          </w:rPr>
          <w:t>11</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установленная категория опасности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отметка «Решение принято голосами членов комиссии «за»___, «против» ____, «воздержались» ___»;</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подписи членов комиссии с указанием их статуса в составе комиссии, инициалов и фамилий (в алфавитном порядке).</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В акте указываются также основные данные об объекте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и т.п.);</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режим функционирования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действующие меры по обеспечению безопасного функционирования объекта (территории) (внутриобъектовый и пропускной режимы, физическая охрана, наружное освещение, система противопожарной защиты и т.п.);</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критические элементы и уязвимые места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наличие наглядных пособий</w:t>
      </w:r>
      <w:hyperlink r:id="rId18" w:anchor="11112" w:history="1">
        <w:r w:rsidRPr="007164B2">
          <w:rPr>
            <w:rFonts w:ascii="Arial" w:eastAsia="Times New Roman" w:hAnsi="Arial" w:cs="Arial"/>
            <w:color w:val="808080"/>
            <w:sz w:val="20"/>
            <w:szCs w:val="20"/>
            <w:u w:val="single"/>
            <w:bdr w:val="none" w:sz="0" w:space="0" w:color="auto" w:frame="1"/>
            <w:vertAlign w:val="superscript"/>
            <w:lang w:eastAsia="ru-RU"/>
          </w:rPr>
          <w:t>12</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инженерно-технические средства и системы охраны: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наличие системы видеонаблюдения (количество видеокамер; обеспечивает/не обеспечивает непрерывное видеонаблюдение уязвимых мест и критических элементов объекта (территории); обеспечивает/не обеспечивает архивирование и хранение данных в течение одного месяца;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наличие системы передачи тревожных сообщений в подразделение войск национальной гвардии Российской Федерации или в систему обеспечения вызова экстренных оперативных служб по единому номеру «112»;</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наличие системы оповещения и управления эвакуацией</w:t>
      </w:r>
      <w:hyperlink r:id="rId19" w:anchor="11113" w:history="1">
        <w:r w:rsidRPr="007164B2">
          <w:rPr>
            <w:rFonts w:ascii="Arial" w:eastAsia="Times New Roman" w:hAnsi="Arial" w:cs="Arial"/>
            <w:color w:val="808080"/>
            <w:sz w:val="20"/>
            <w:szCs w:val="20"/>
            <w:u w:val="single"/>
            <w:bdr w:val="none" w:sz="0" w:space="0" w:color="auto" w:frame="1"/>
            <w:vertAlign w:val="superscript"/>
            <w:lang w:eastAsia="ru-RU"/>
          </w:rPr>
          <w:t>13</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К акту обследования и категорирования объекта (территории) прилагаются: пояснительная записка с перечнем прилагаемых сведений об объекте (территории), подлежащих последующему внесению в паспорт безопасности объекта;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план (схема) объекта (территории) с обозначением потенциально опасных участков и критических элементов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план (схема) охраны объекта (территории) с указанием контрольно-пропускных пунктов, постов охраны, инженерно-технических средств охраны;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особое мнение членов комиссии, не согласных с общим принятым решением (при его наличии).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п. 3.2.2.84 ГОСТ Р 7.0.8 - 2013).</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 xml:space="preserve">Отдельным документом по результатам категорирования объекта (территории) (приложением к акту обследования и категорирования объекта (территории) разрабатывается перечень мероприятий по обеспечению АТЗ объекта (территории) с учетом категории объекта (территории), с указанием сроков осуществления </w:t>
      </w:r>
      <w:r w:rsidRPr="007164B2">
        <w:rPr>
          <w:rFonts w:ascii="Arial" w:eastAsia="Times New Roman" w:hAnsi="Arial" w:cs="Arial"/>
          <w:color w:val="333333"/>
          <w:sz w:val="23"/>
          <w:szCs w:val="23"/>
          <w:lang w:eastAsia="ru-RU"/>
        </w:rPr>
        <w:lastRenderedPageBreak/>
        <w:t>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6. Порядок участия членов комиссии в проведении экспертной оценки состояния антитеррористической защищенности и безопасности охраняемого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Экспертная оценка состояния АТЗ охраняемого объекта (территории) проводится членами межведомственной комиссии в рамках участия в деятельности комиссии по его обследованию и категорированию.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К работе комиссии могут привлекаться эксперты из специализированных организаций, имеющих право осуществлять экспертизу безопасности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 проведении экспертной оценки члены комиссии: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знакомятся с организационно-распорядительной и технической документацией по организации АТЗ, имеющейся на объекте (территории), а также при необходимости запрашивают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изучают режим работы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проводят обследование объекта (территории) на предмет его антитеррористической защищенности, определяют:</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расположение объекта (территории) на местности;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занимаемую площадь;</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конфигурацию периметра;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общую протяженность и протяженность линейных участков (участков прямой видимости);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конструктивные и технические характеристики объекта (территории), организацию его функционирования, действующие меры по безопасному функционированию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количество потенциально опасных участков объекта (территории) и (или) уязвимых мест и критических элементов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наличие ограничения доступа в отдельные здания или помещения, на отдельные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технические возможности эвакуации;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наличие смежных строений;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наличие физической охраны объекта (территории), количество постов, время охраны;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наличие инженерно-технических средств и систем охраны;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изучают конструктивные и технические характеристики инженерно-технических средств и систем охраны;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изучают документы по техническому обслуживанию инженерно-технических средств и систем охраны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определяют категорию объекта (территории) или подтверждают (изменяют) ранее присвоенную категорию;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определяют перечень необходимых мероприятий по обеспечению АТЗ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7. Оформление результатов обследования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По окончании обследования результаты работы комиссии оформляются актом обследования и категорирования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Акт обследования и категорирования объекта (территории) составляется в 2 экземплярах и подписывается всеми членами комиссии.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Служебная информация о состоянии АТЗ объекта (территории), содержащаяся в акте обследования и категорирования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Акт обследования и категорирования должен содержать следующую информацию: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 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 Состав межведомственной комиссии по обследованию и категорированию объекта (территории) в соответствии с приказом руководителя органа (организации), являющегося правообладателем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2.1. Председатель комиссии - 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2.2. Члены комиссии - 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иные лица, участвующие (при необходимости) в обследовании объекта (эксперты из специализированных организаций, имеющих право осуществлять экспертизу безопасности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3. 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 № распорядительных документов.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4. Срок работы комиссии.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 Общие сведения об объекте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5.1. Полное и сокращенное наименование объекта (территории), почтовый адрес, телефон, факс, электронный адрес (сведения указываются на основании учредительных документов) (</w:t>
      </w:r>
      <w:hyperlink r:id="rId20" w:anchor="1051" w:history="1">
        <w:r w:rsidRPr="007164B2">
          <w:rPr>
            <w:rFonts w:ascii="Arial" w:eastAsia="Times New Roman" w:hAnsi="Arial" w:cs="Arial"/>
            <w:color w:val="808080"/>
            <w:sz w:val="23"/>
            <w:szCs w:val="23"/>
            <w:u w:val="single"/>
            <w:bdr w:val="none" w:sz="0" w:space="0" w:color="auto" w:frame="1"/>
            <w:lang w:eastAsia="ru-RU"/>
          </w:rPr>
          <w:t>пункты 1</w:t>
        </w:r>
      </w:hyperlink>
      <w:r w:rsidRPr="007164B2">
        <w:rPr>
          <w:rFonts w:ascii="Arial" w:eastAsia="Times New Roman" w:hAnsi="Arial" w:cs="Arial"/>
          <w:color w:val="333333"/>
          <w:sz w:val="23"/>
          <w:szCs w:val="23"/>
          <w:lang w:eastAsia="ru-RU"/>
        </w:rPr>
        <w:t> и </w:t>
      </w:r>
      <w:hyperlink r:id="rId21" w:anchor="1058" w:history="1">
        <w:r w:rsidRPr="007164B2">
          <w:rPr>
            <w:rFonts w:ascii="Arial" w:eastAsia="Times New Roman" w:hAnsi="Arial" w:cs="Arial"/>
            <w:color w:val="808080"/>
            <w:sz w:val="23"/>
            <w:szCs w:val="23"/>
            <w:u w:val="single"/>
            <w:bdr w:val="none" w:sz="0" w:space="0" w:color="auto" w:frame="1"/>
            <w:lang w:eastAsia="ru-RU"/>
          </w:rPr>
          <w:t>5.1</w:t>
        </w:r>
      </w:hyperlink>
      <w:r w:rsidRPr="007164B2">
        <w:rPr>
          <w:rFonts w:ascii="Arial" w:eastAsia="Times New Roman" w:hAnsi="Arial" w:cs="Arial"/>
          <w:color w:val="333333"/>
          <w:sz w:val="23"/>
          <w:szCs w:val="23"/>
          <w:lang w:eastAsia="ru-RU"/>
        </w:rPr>
        <w:t> могут совпадать в случае одного объекта (территории) у организации);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5.2. Форма собственности;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5.3. Наименование вышестоящей организации по принадлежности (наименование, адрес, телефон, факс);</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5.4. Виды деятельности организации (сведения указываются по основной и другим видам деятельности в соответствии с уставом организации, лицензией, выпиской из ЕГРЮЛ);</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5.5. Общие сведения о зданиях, строениях, сооружениях, автостоянках, расположенных на объекте (территории), включающие сведения по параметрам объекта (общая площадь, протяженность и др.) (сведения указываются на основании свидетельств о государственной регистрации прав, других правоустанавливающих документов);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5.6. Сведения по ответственным должностным лицам организации в соответствии с приказом «Об обследовании и категорировании объектов (территорий) и разработке паспортов безопасности объектов (территорий)» (мобильные, служебные и домашние номера телефонов).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 Характеристика местности в районе расположения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6.1. Рельеф местности, прилегающие лесные массивы, удаленность водоемов;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6.2. Климатическая зона, среднестатистические метеорологические данные;</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6.3. Социально значимые, административные и другие объекты;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Таблица 1</w:t>
      </w:r>
      <w:r w:rsidRPr="007164B2">
        <w:rPr>
          <w:rFonts w:ascii="Arial" w:eastAsia="Times New Roman" w:hAnsi="Arial" w:cs="Arial"/>
          <w:color w:val="333333"/>
          <w:sz w:val="23"/>
          <w:szCs w:val="23"/>
          <w:lang w:eastAsia="ru-RU"/>
        </w:rPr>
        <w:br/>
        <w:t>(образец заполнения)</w:t>
      </w:r>
    </w:p>
    <w:tbl>
      <w:tblPr>
        <w:tblW w:w="0" w:type="auto"/>
        <w:tblCellMar>
          <w:top w:w="15" w:type="dxa"/>
          <w:left w:w="15" w:type="dxa"/>
          <w:bottom w:w="15" w:type="dxa"/>
          <w:right w:w="15" w:type="dxa"/>
        </w:tblCellMar>
        <w:tblLook w:val="04A0"/>
      </w:tblPr>
      <w:tblGrid>
        <w:gridCol w:w="333"/>
        <w:gridCol w:w="3197"/>
        <w:gridCol w:w="1173"/>
        <w:gridCol w:w="2103"/>
        <w:gridCol w:w="1096"/>
        <w:gridCol w:w="1483"/>
      </w:tblGrid>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Наименование административных, экстренных, социальных служб</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Адрес</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Удаленность от объекта (территории), км</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Телефон</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Направление</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1.</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Территориальный орган управления (администрация, др.)</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ул. Пушкина, 67</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1,4</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8-86132-2-52-22</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юго-западное</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2.</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Территориальные органы МВД России</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3.</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Территориальные органы МЧС России</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4.</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Противопожарные службы</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5.</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Медицинские учреждения</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6.</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bl>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6.4. Сведения о потенциально опасных объектах, расположенных в непосредственной близости к объекту (территории)</w:t>
      </w:r>
      <w:hyperlink r:id="rId22" w:anchor="11114" w:history="1">
        <w:r w:rsidRPr="007164B2">
          <w:rPr>
            <w:rFonts w:ascii="Arial" w:eastAsia="Times New Roman" w:hAnsi="Arial" w:cs="Arial"/>
            <w:color w:val="808080"/>
            <w:sz w:val="20"/>
            <w:szCs w:val="20"/>
            <w:u w:val="single"/>
            <w:bdr w:val="none" w:sz="0" w:space="0" w:color="auto" w:frame="1"/>
            <w:vertAlign w:val="superscript"/>
            <w:lang w:eastAsia="ru-RU"/>
          </w:rPr>
          <w:t>14</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Таблица 2</w:t>
      </w:r>
      <w:r w:rsidRPr="007164B2">
        <w:rPr>
          <w:rFonts w:ascii="Arial" w:eastAsia="Times New Roman" w:hAnsi="Arial" w:cs="Arial"/>
          <w:color w:val="333333"/>
          <w:sz w:val="23"/>
          <w:szCs w:val="23"/>
          <w:lang w:eastAsia="ru-RU"/>
        </w:rPr>
        <w:br/>
        <w:t>(образец заполнения)</w:t>
      </w:r>
    </w:p>
    <w:tbl>
      <w:tblPr>
        <w:tblW w:w="0" w:type="auto"/>
        <w:tblCellMar>
          <w:top w:w="15" w:type="dxa"/>
          <w:left w:w="15" w:type="dxa"/>
          <w:bottom w:w="15" w:type="dxa"/>
          <w:right w:w="15" w:type="dxa"/>
        </w:tblCellMar>
        <w:tblLook w:val="04A0"/>
      </w:tblPr>
      <w:tblGrid>
        <w:gridCol w:w="332"/>
        <w:gridCol w:w="2043"/>
        <w:gridCol w:w="3356"/>
        <w:gridCol w:w="1483"/>
        <w:gridCol w:w="2171"/>
      </w:tblGrid>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Наименование объекта</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Расстояние до объекта (территории), расположенного в непосредственной близости, метров</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Направление</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Характеристика уровня опасности</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1.</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Вязов переулок, 12/2, стр.1, жилой дом</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14</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северное</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не опасен</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2.</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3.</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bl>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6.5. Размещение объекта (территории) по отношению к транспортным коммуникациям;</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Таблица 3</w:t>
      </w:r>
      <w:r w:rsidRPr="007164B2">
        <w:rPr>
          <w:rFonts w:ascii="Arial" w:eastAsia="Times New Roman" w:hAnsi="Arial" w:cs="Arial"/>
          <w:color w:val="333333"/>
          <w:sz w:val="23"/>
          <w:szCs w:val="23"/>
          <w:lang w:eastAsia="ru-RU"/>
        </w:rPr>
        <w:br/>
        <w:t>(образец заполнения)</w:t>
      </w:r>
    </w:p>
    <w:tbl>
      <w:tblPr>
        <w:tblW w:w="0" w:type="auto"/>
        <w:tblCellMar>
          <w:top w:w="15" w:type="dxa"/>
          <w:left w:w="15" w:type="dxa"/>
          <w:bottom w:w="15" w:type="dxa"/>
          <w:right w:w="15" w:type="dxa"/>
        </w:tblCellMar>
        <w:tblLook w:val="04A0"/>
      </w:tblPr>
      <w:tblGrid>
        <w:gridCol w:w="332"/>
        <w:gridCol w:w="3417"/>
        <w:gridCol w:w="2548"/>
        <w:gridCol w:w="3088"/>
      </w:tblGrid>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Вид транспорта и транспортных коммуникаций</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Наименование объекта транспортной коммуникации</w:t>
            </w:r>
          </w:p>
        </w:tc>
        <w:tc>
          <w:tcPr>
            <w:tcW w:w="0" w:type="auto"/>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Направление, расстояние до объекта транспортной коммуникации, метров</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1.</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Автомобильный</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Проезжие части улиц: ... Паркинг Автобусная остановка</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2.</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Железнодорожный (вокзалы, станции, переезды, платформы, железнодорожные пути)</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Ж/д вокзал «Восточный»</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Юго-восточное, 1450</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3.</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Водный (порты, причалы)</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4.</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Воздушный (аэропорты, военные аэродромы, взлетно-</w:t>
            </w:r>
            <w:r w:rsidRPr="007164B2">
              <w:rPr>
                <w:rFonts w:ascii="Times New Roman" w:eastAsia="Times New Roman" w:hAnsi="Times New Roman" w:cs="Times New Roman"/>
                <w:sz w:val="24"/>
                <w:szCs w:val="24"/>
                <w:lang w:eastAsia="ru-RU"/>
              </w:rPr>
              <w:lastRenderedPageBreak/>
              <w:t>посадочные площадки, полосы)</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lastRenderedPageBreak/>
              <w:t>   </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w:t>
            </w:r>
          </w:p>
        </w:tc>
      </w:tr>
    </w:tbl>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6.6. Режим работы объекта (территории), включающий продолжительность, начало (окончание) рабочего дня для всех категорий работников, расписание занятий обучающихся;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6.7. Сведения об арендаторах, иных лицах (организациях), осуществляющих безвозмездное пользование имуществом, находящимся на объекте (территории) (указываются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6.8. Общее количество работников объекта (территории): специалистов в соответствии со штатной численностью, специалистов, работающих на основании гражданско-правовых договоров, лиц, осуществляющих безвозмездное пользование имуществом, находящимся на объекте (территории), сотрудников охранных организаций, иных лиц, в том числе арендаторов;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6.9. Общее количество обучающихся (детей), соответствующее списочному составу;</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6.10. Максимальная численность людей, находящихся на объекте (территории) в рабочие дни, соответствующая режиму работы объекта (территории), учитывающая расписание деятельности организации.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 Сведения о потенциально опасных участках и (или) критических элементах:</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7.1. Потенциально опасные участки объекта (территории) (при наличии в соответствии с приказом МЧС России от 28 февраля 2003 г. № 105 «Об утверждении Требований по предупреждению чрезвычайных ситуаций на потенциально опасных объектах и объектах жизнеобеспечения»);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7.2. Критические элементы объекта (территории) (при наличии критических элементов объекта (территории) отмечается их наименование, общая площадь участка, характер террористической угрозы, характер возможных последствий):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7.2.1. Зоны, конструктивные и технологические элементы объекта (территории), в том числе зданий, инженерных сооружений и коммуникаций;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7.2.2. Элементы систем, узлы оборудования или устройств потенциально опасных установок на объекте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7.2.3. Места использования или хранения опасных веществ и материалов на объекте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7.2.4.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7.3. Возможные места и способы проникновения террористов на объект (территорию);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7.4. Вероятные средства поражения, которые могут применить террористы при совершении террористического акта.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8. Прогноз последствий совершения террористического акта на объекте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8.1. Предполагаемые модели действий нарушителей;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8.2. Вероятные последствия совершения террористического акта на объекте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9. Оценка социально-экономических последствий совершения террористического акта на объекте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9.1.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соответствующая режиму работы объекта (территории), учитывающая расписание деятельности организации.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9.2. Прогнозируемый размер возможного нарушения инфраструктуры объекта и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(территории) на момент проведения категорирования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10. Силы и средства, привлекаемые для обеспечения антитеррористической защищенности объекта (территории) (сведения включают информацию о частной охранной организации, подразделении вневедомственной охраны войск национальной гвардии Российской Федерации, военизированного и сторожевого подразделения организации, подведомственной Федеральной службе войск национальной гвардии Российской Федерации, или подразделении ведомственной охраны федеральных органов исполнительной власти, имеющих право на создание ведомственной охраны,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 состав суточного наряда, обеспечивающего охрану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11. Организация оповещения и связи.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12. Меры по инженерно-технической, физической защите и пожарной безопасности объекта (территории)</w:t>
      </w:r>
      <w:hyperlink r:id="rId23" w:anchor="11115" w:history="1">
        <w:r w:rsidRPr="007164B2">
          <w:rPr>
            <w:rFonts w:ascii="Arial" w:eastAsia="Times New Roman" w:hAnsi="Arial" w:cs="Arial"/>
            <w:color w:val="808080"/>
            <w:sz w:val="20"/>
            <w:szCs w:val="20"/>
            <w:u w:val="single"/>
            <w:bdr w:val="none" w:sz="0" w:space="0" w:color="auto" w:frame="1"/>
            <w:vertAlign w:val="superscript"/>
            <w:lang w:eastAsia="ru-RU"/>
          </w:rPr>
          <w:t>15</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13. Оценка достаточности мероприятий по защите критических элементов и потенциально опасных участков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14. Дополнительная информация с учетом особенностей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15. Выводы и рекомендации для занесения в акт обследования и категорирования объекта (территории) должны содержать следующие разделы:</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15.1. Оценка соответствия системы безопасности объекта (территории) установленным требованиям;</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15.2. Соответствие эксплуатируемых на объекте (территории) инженерно-технических средств и систем охраны установленным требованиям, их совместимость и работоспособность;</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15.3. Предложения по совершенствованию системы безопасности объекта (территории), повышению уровня его инженерно-технической защищенности;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15.4. Предложения по формированию модели взаимодействия организации с  территориальными органами безопасности, территориальными органами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15.5. Предложения по присвоению соответствующей категории объекту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Акт обследования и категорирования объекта (территории) и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утверждается руководителем органа (организации), являющегося правообладателем объекта (территории) или уполномоченным им лицом не позднее последнего дня работы комиссии.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8. Взаимодействие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Постановлением № 1006 предусмотрено поддержание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 в целях</w:t>
      </w:r>
      <w:hyperlink r:id="rId24" w:anchor="11116" w:history="1">
        <w:r w:rsidRPr="007164B2">
          <w:rPr>
            <w:rFonts w:ascii="Arial" w:eastAsia="Times New Roman" w:hAnsi="Arial" w:cs="Arial"/>
            <w:color w:val="808080"/>
            <w:sz w:val="20"/>
            <w:szCs w:val="20"/>
            <w:u w:val="single"/>
            <w:bdr w:val="none" w:sz="0" w:space="0" w:color="auto" w:frame="1"/>
            <w:vertAlign w:val="superscript"/>
            <w:lang w:eastAsia="ru-RU"/>
          </w:rPr>
          <w:t>16</w:t>
        </w:r>
      </w:hyperlink>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выявления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пресечения попыток совершения террористических актов на объектах (территориях);</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минимизации возможных последствий и ликвидации угрозы террористических актов на объектах (территориях).</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 планировании мероприятий по взаимодействию рекомендуется предусмотреть проведение совместных тренировок в соответствии с запланированными совместными действиями при возникновении террористических угроз:</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попытке вооруженного проникновения на территорию организации или проникновения вооруженных лиц;</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 обнаружении на территории организации или в непосредственной близости от него опасного предмета (взрывного устройства, др.);</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 получении по телефону сообщения об угрозе минирования учреждения;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 захвате заложников на территории (объекте) организации;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 совершении на территории (объекте) взрыва, поджога, другой чрезвычайной ситуации.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План взаимодействия должен обязательно предусматривать:</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актуализацию, уточнение контактов дежурных (оперативных) служб территориальных органов;</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получение информации о минимальных и максимальных сроках прибытия служб в организацию в случае возникновения чрезвычайной ситуации.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Также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соответствии с постановлением Правительства Российской Федерации от 27 мая 2017 г. №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1</w:t>
      </w:r>
      <w:r w:rsidRPr="007164B2">
        <w:rPr>
          <w:rFonts w:ascii="Arial" w:eastAsia="Times New Roman" w:hAnsi="Arial" w:cs="Arial"/>
          <w:color w:val="333333"/>
          <w:sz w:val="23"/>
          <w:szCs w:val="23"/>
          <w:lang w:eastAsia="ru-RU"/>
        </w:rPr>
        <w:t>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разработаны в соответствии с поручением Правительства Российской Федерации от 21 мая 2018 г. № ДМ-П17-2841 о приведении актов Минпросвещения России в соответствие с Указом Президента Российской Федерации от 15 мая 2018 г. № 215 «О структуре федеральных органов исполнительной власти».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lastRenderedPageBreak/>
        <w:t>2</w:t>
      </w:r>
      <w:r w:rsidRPr="007164B2">
        <w:rPr>
          <w:rFonts w:ascii="Arial" w:eastAsia="Times New Roman" w:hAnsi="Arial" w:cs="Arial"/>
          <w:color w:val="333333"/>
          <w:sz w:val="23"/>
          <w:szCs w:val="23"/>
          <w:lang w:eastAsia="ru-RU"/>
        </w:rPr>
        <w:t> Пунктом 1 статьи 209 Гражданского кодекса Российской Федерации установлено, что права владения, пользования и распоряжения имуществом принадлежат его собственнику.</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Вместе с тем согласно пункту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 соответствии с пунктом 4 статьи 214 и пунктом 3 статьи 215 Гражданского кодекса Российской Федерации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 (статья 294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(пункт 1 статьи 296 Гражданского кодекса Российской Федерации).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3</w:t>
      </w:r>
      <w:r w:rsidRPr="007164B2">
        <w:rPr>
          <w:rFonts w:ascii="Arial" w:eastAsia="Times New Roman" w:hAnsi="Arial" w:cs="Arial"/>
          <w:color w:val="333333"/>
          <w:sz w:val="23"/>
          <w:szCs w:val="23"/>
          <w:lang w:eastAsia="ru-RU"/>
        </w:rPr>
        <w:t> В соответствии с подпунктом «е» пункта 11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4</w:t>
      </w:r>
      <w:r w:rsidRPr="007164B2">
        <w:rPr>
          <w:rFonts w:ascii="Arial" w:eastAsia="Times New Roman" w:hAnsi="Arial" w:cs="Arial"/>
          <w:color w:val="333333"/>
          <w:sz w:val="23"/>
          <w:szCs w:val="23"/>
          <w:lang w:eastAsia="ru-RU"/>
        </w:rPr>
        <w:t> Разрабатывается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5</w:t>
      </w:r>
      <w:r w:rsidRPr="007164B2">
        <w:rPr>
          <w:rFonts w:ascii="Arial" w:eastAsia="Times New Roman" w:hAnsi="Arial" w:cs="Arial"/>
          <w:color w:val="333333"/>
          <w:sz w:val="23"/>
          <w:szCs w:val="23"/>
          <w:lang w:eastAsia="ru-RU"/>
        </w:rPr>
        <w:t> В соответствии с подпунктом «а» пункта 8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6</w:t>
      </w:r>
      <w:r w:rsidRPr="007164B2">
        <w:rPr>
          <w:rFonts w:ascii="Arial" w:eastAsia="Times New Roman" w:hAnsi="Arial" w:cs="Arial"/>
          <w:color w:val="333333"/>
          <w:sz w:val="23"/>
          <w:szCs w:val="23"/>
          <w:lang w:eastAsia="ru-RU"/>
        </w:rPr>
        <w:t> В соответствии с подпунктом «б» пункта 8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7</w:t>
      </w:r>
      <w:r w:rsidRPr="007164B2">
        <w:rPr>
          <w:rFonts w:ascii="Arial" w:eastAsia="Times New Roman" w:hAnsi="Arial" w:cs="Arial"/>
          <w:color w:val="333333"/>
          <w:sz w:val="23"/>
          <w:szCs w:val="23"/>
          <w:lang w:eastAsia="ru-RU"/>
        </w:rPr>
        <w:t> В соответствии с пунктом 9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8</w:t>
      </w:r>
      <w:r w:rsidRPr="007164B2">
        <w:rPr>
          <w:rFonts w:ascii="Arial" w:eastAsia="Times New Roman" w:hAnsi="Arial" w:cs="Arial"/>
          <w:color w:val="333333"/>
          <w:sz w:val="23"/>
          <w:szCs w:val="23"/>
          <w:lang w:eastAsia="ru-RU"/>
        </w:rPr>
        <w:t> В соответствии с пунктом 43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9</w:t>
      </w:r>
      <w:r w:rsidRPr="007164B2">
        <w:rPr>
          <w:rFonts w:ascii="Arial" w:eastAsia="Times New Roman" w:hAnsi="Arial" w:cs="Arial"/>
          <w:color w:val="333333"/>
          <w:sz w:val="23"/>
          <w:szCs w:val="23"/>
          <w:lang w:eastAsia="ru-RU"/>
        </w:rPr>
        <w:t> В соответствии пунктами 44-45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lastRenderedPageBreak/>
        <w:t>10</w:t>
      </w:r>
      <w:r w:rsidRPr="007164B2">
        <w:rPr>
          <w:rFonts w:ascii="Arial" w:eastAsia="Times New Roman" w:hAnsi="Arial" w:cs="Arial"/>
          <w:color w:val="333333"/>
          <w:sz w:val="23"/>
          <w:szCs w:val="23"/>
          <w:lang w:eastAsia="ru-RU"/>
        </w:rPr>
        <w:t> В соответствии со статьей 51 Федерального закона от 17 января 1992 г. № 2202-1 «О прокуратуре Российской Федерации» Генеральная прокуратура Российской Федерации ведет государственный единый статистический учет заявлений и сообщений о преступлениях, состоянии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 На основании пункта 1 приказа Генеральной прокуратуры Российской Федерации от 3 июля 2018 г. № 393 «Об утверждении формы федерального статистического наблюдения № 1-ФЭТ» в целях реализации полномочий Генеральной прокуратуры Российской Федерации по ведению государственного единого статистического учета в сфере правовой статистики и установления единообразного подхода к формированию статистических показателей состояния преступности в сфере экстремизма и терроризма утверждена форма федерального статистического наблюдения № 1-ФЭТ (ежемесячная) «Сведения о преступлениях террористического характера и экстремистской направленности».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Учет совершенных и предотвращенных за последние 12 месяцев террористических актов на территории субъекта Российской Федерации ведется в соответствии с совместным приказом Генеральной прокуратуры Российской Федерации, МВД России, МЧС России, Минюста России, ФСБ России, Минэкономразвития России и ФСКН России от 29 декабря 2005 г. № 39/1070/1021/253/780/353/399 «О едином учете преступлений».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11</w:t>
      </w:r>
      <w:r w:rsidRPr="007164B2">
        <w:rPr>
          <w:rFonts w:ascii="Arial" w:eastAsia="Times New Roman" w:hAnsi="Arial" w:cs="Arial"/>
          <w:color w:val="333333"/>
          <w:sz w:val="23"/>
          <w:szCs w:val="23"/>
          <w:lang w:eastAsia="ru-RU"/>
        </w:rPr>
        <w:t> В соответствии с пунктом 2 раздела I постановления № 1006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12</w:t>
      </w:r>
      <w:r w:rsidRPr="007164B2">
        <w:rPr>
          <w:rFonts w:ascii="Arial" w:eastAsia="Times New Roman" w:hAnsi="Arial" w:cs="Arial"/>
          <w:color w:val="333333"/>
          <w:sz w:val="23"/>
          <w:szCs w:val="23"/>
          <w:lang w:eastAsia="ru-RU"/>
        </w:rPr>
        <w:t> В соответствии с подпунктом «л» пункта 24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13</w:t>
      </w:r>
      <w:r w:rsidRPr="007164B2">
        <w:rPr>
          <w:rFonts w:ascii="Arial" w:eastAsia="Times New Roman" w:hAnsi="Arial" w:cs="Arial"/>
          <w:color w:val="333333"/>
          <w:sz w:val="23"/>
          <w:szCs w:val="23"/>
          <w:lang w:eastAsia="ru-RU"/>
        </w:rPr>
        <w:t> В соответствии с пунктом 31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14</w:t>
      </w:r>
      <w:r w:rsidRPr="007164B2">
        <w:rPr>
          <w:rFonts w:ascii="Arial" w:eastAsia="Times New Roman" w:hAnsi="Arial" w:cs="Arial"/>
          <w:color w:val="333333"/>
          <w:sz w:val="23"/>
          <w:szCs w:val="23"/>
          <w:lang w:eastAsia="ru-RU"/>
        </w:rPr>
        <w:t> Приказ МЧС России от 28 февраля 2003 г. № 105 «Об утверждении Требований по предупреждению чрезвычайных ситуаций на потенциально опасных объектах и объектах жизнеобеспечения»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15</w:t>
      </w:r>
      <w:r w:rsidRPr="007164B2">
        <w:rPr>
          <w:rFonts w:ascii="Arial" w:eastAsia="Times New Roman" w:hAnsi="Arial" w:cs="Arial"/>
          <w:color w:val="333333"/>
          <w:sz w:val="23"/>
          <w:szCs w:val="23"/>
          <w:lang w:eastAsia="ru-RU"/>
        </w:rPr>
        <w:t> 1. Федеральный закон от 30 декабря 2009 г. № 384-ФЗ «Технический регламент о безопасности зданий и сооружений».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 Приказ Минрегиона России от 5 июля 2011 г. №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3. Пункт 6.48 СП 118.13330.2012. «Свод правил. Общественные здания и сооружения. Актуализированная редакция СНиП 31-06-2009».</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4. В соответствии с пунктами 24-31 постановления № 1006.</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0"/>
          <w:szCs w:val="20"/>
          <w:vertAlign w:val="superscript"/>
          <w:lang w:eastAsia="ru-RU"/>
        </w:rPr>
        <w:t>16</w:t>
      </w:r>
      <w:r w:rsidRPr="007164B2">
        <w:rPr>
          <w:rFonts w:ascii="Arial" w:eastAsia="Times New Roman" w:hAnsi="Arial" w:cs="Arial"/>
          <w:color w:val="333333"/>
          <w:sz w:val="23"/>
          <w:szCs w:val="23"/>
          <w:lang w:eastAsia="ru-RU"/>
        </w:rPr>
        <w:t> Подпункт «з» пункта 19; подпункт «з» пункта 20; подпункт «а» пункта 21.</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Приложение</w:t>
      </w:r>
    </w:p>
    <w:p w:rsidR="007164B2" w:rsidRPr="007164B2" w:rsidRDefault="007164B2" w:rsidP="007164B2">
      <w:pPr>
        <w:shd w:val="clear" w:color="auto" w:fill="FFFFFF"/>
        <w:spacing w:after="255" w:line="270" w:lineRule="atLeast"/>
        <w:outlineLvl w:val="2"/>
        <w:rPr>
          <w:rFonts w:ascii="Arial" w:eastAsia="Times New Roman" w:hAnsi="Arial" w:cs="Arial"/>
          <w:b/>
          <w:bCs/>
          <w:color w:val="333333"/>
          <w:sz w:val="26"/>
          <w:szCs w:val="26"/>
          <w:lang w:eastAsia="ru-RU"/>
        </w:rPr>
      </w:pPr>
      <w:r w:rsidRPr="007164B2">
        <w:rPr>
          <w:rFonts w:ascii="Arial" w:eastAsia="Times New Roman" w:hAnsi="Arial" w:cs="Arial"/>
          <w:b/>
          <w:bCs/>
          <w:color w:val="333333"/>
          <w:sz w:val="26"/>
          <w:szCs w:val="26"/>
          <w:lang w:eastAsia="ru-RU"/>
        </w:rPr>
        <w:t>Образец приказа «Об обследовании и категорировании объектов (территорий) и разработке паспортов безопасности объектов (территорий)»</w:t>
      </w:r>
    </w:p>
    <w:tbl>
      <w:tblPr>
        <w:tblW w:w="0" w:type="auto"/>
        <w:tblCellMar>
          <w:top w:w="15" w:type="dxa"/>
          <w:left w:w="15" w:type="dxa"/>
          <w:bottom w:w="15" w:type="dxa"/>
          <w:right w:w="15" w:type="dxa"/>
        </w:tblCellMar>
        <w:tblLook w:val="04A0"/>
      </w:tblPr>
      <w:tblGrid>
        <w:gridCol w:w="5825"/>
        <w:gridCol w:w="3560"/>
      </w:tblGrid>
      <w:tr w:rsidR="007164B2" w:rsidRPr="007164B2" w:rsidTr="007164B2">
        <w:tc>
          <w:tcPr>
            <w:tcW w:w="0" w:type="auto"/>
            <w:gridSpan w:val="2"/>
            <w:hideMark/>
          </w:tcPr>
          <w:p w:rsidR="007164B2" w:rsidRPr="007164B2" w:rsidRDefault="007164B2" w:rsidP="007164B2">
            <w:pPr>
              <w:spacing w:after="0" w:line="240" w:lineRule="auto"/>
              <w:rPr>
                <w:rFonts w:ascii="Times New Roman" w:eastAsia="Times New Roman" w:hAnsi="Times New Roman" w:cs="Times New Roman"/>
                <w:b/>
                <w:bCs/>
                <w:sz w:val="24"/>
                <w:szCs w:val="24"/>
                <w:lang w:eastAsia="ru-RU"/>
              </w:rPr>
            </w:pPr>
            <w:r w:rsidRPr="007164B2">
              <w:rPr>
                <w:rFonts w:ascii="Times New Roman" w:eastAsia="Times New Roman" w:hAnsi="Times New Roman" w:cs="Times New Roman"/>
                <w:b/>
                <w:bCs/>
                <w:sz w:val="24"/>
                <w:szCs w:val="24"/>
                <w:lang w:eastAsia="ru-RU"/>
              </w:rPr>
              <w:t>Орган власти (по подведомственности) образовательное учреждение (сокращенное наименование)    </w:t>
            </w:r>
          </w:p>
        </w:tc>
      </w:tr>
      <w:tr w:rsidR="007164B2" w:rsidRPr="007164B2" w:rsidTr="007164B2">
        <w:tc>
          <w:tcPr>
            <w:tcW w:w="0" w:type="auto"/>
            <w:gridSpan w:val="2"/>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ПРИКАЗ</w:t>
            </w:r>
          </w:p>
        </w:tc>
      </w:tr>
      <w:tr w:rsidR="007164B2" w:rsidRPr="007164B2" w:rsidTr="007164B2">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от “__”._________.20.... г.</w:t>
            </w:r>
          </w:p>
        </w:tc>
        <w:tc>
          <w:tcPr>
            <w:tcW w:w="0" w:type="auto"/>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№___________</w:t>
            </w:r>
          </w:p>
        </w:tc>
      </w:tr>
      <w:tr w:rsidR="007164B2" w:rsidRPr="007164B2" w:rsidTr="007164B2">
        <w:tc>
          <w:tcPr>
            <w:tcW w:w="0" w:type="auto"/>
            <w:gridSpan w:val="2"/>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    Об обследовании и категорировании объектов (территорий) и разработке паспортов безопасности объектов (территорий)</w:t>
            </w:r>
          </w:p>
        </w:tc>
      </w:tr>
    </w:tbl>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Во исполнение постановления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 1006) приказываю: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1. Утвердить состав комиссии по обследованию и категорированию объектов (территории) образовательной организации (далее - Комиссия) согласно приложению.</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 Комиссии в период с “__” по “__”_ 20... г. провести обследование и категорирование объектов (территории) организации, находящихся по адресам:</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2.1. ___________________________________;</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2.2. ___________________________________;</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2.3. ___________________________________.</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3. Результаты обследования и категорирования по каждому объекту (территории) оформить актом обследования и категорирования объекта (территории).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4. Ведущему специалисту по безопасности Иванову И.И., руководителям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4.1. По результатам категорирования объектов (территорий) разработать паспорта безопасности объектов (территорий), согласовать с территориальным органом безопасности, территориальным органом Федеральной службы войск национальной гвардии Российской Федерации (подразделения вневедомственной охраны Росгвардии), территориальным органом МЧС России, и представить на утверждение не позднее _________ 20.... года;</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4.2. Разработку,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приказом от “...”______ 20__ г. № ____ «О мерах по защите информации при разработке и хранении паспортов безопасности объектов в образовательной организации»;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4.3. Паспорта безопасности объектов (территорий), разработанные в соответствии с постановлением № 1006, ввести в действие с _______ 20.... года. Считать с этого же числа утратившими силу паспорта безопасности объектов (территорий), ранее разработанные организацией в соответствии с иными актами Правительства Российской Федерации и/или приказом от “...”_________ 20__ г. № _____ (соответствующего органа власти).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 Ведущему специалисту по безопасности Иванову 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5.1. В течение 5 (пяти) рабочих дней с момента утверждения паспортов безопасности объектов (территорий) в установленном порядке представить в (соответствующий орган власти) необходимые документы и сведения для внесения в Реестр паспортов безопасности объектов образования, подведомственных соответствующему органу власти;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5.2. Копии (по согласованию с территориальным органом безопасности - бумажные или электронные копии) паспортов безопасности объектов (территорий) представить в территориальный орган безопасности.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6. Заведующему канцелярией Петрову С.С. с ___________ 20... г. изъять у руководителей объектов (территорий) утратившие силу паспорта безопасности объектов (территорий), организовать их архивное хранение в организации в течение 5 лет. Паспорта безопасности объектов (территорий), с момента утверждения которых прошло более 10 лет, уничтожить в установленном порядке.</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7. Считать утратившими силу .... (ранее изданные распорядительные и локальные акты организации, если требуется).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8. Настоящий приказ довести до лиц, указанных в приказе.</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9. Контроль за исполнением настоящего приказа оставляю за собой.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Приложение: состав комиссии по обследованию и категорированию объектов (территорий) образовательной организации на 1 л.</w:t>
      </w:r>
    </w:p>
    <w:tbl>
      <w:tblPr>
        <w:tblW w:w="0" w:type="auto"/>
        <w:tblCellMar>
          <w:top w:w="15" w:type="dxa"/>
          <w:left w:w="15" w:type="dxa"/>
          <w:bottom w:w="15" w:type="dxa"/>
          <w:right w:w="15" w:type="dxa"/>
        </w:tblCellMar>
        <w:tblLook w:val="04A0"/>
      </w:tblPr>
      <w:tblGrid>
        <w:gridCol w:w="1521"/>
        <w:gridCol w:w="1521"/>
      </w:tblGrid>
      <w:tr w:rsidR="007164B2" w:rsidRPr="007164B2" w:rsidTr="007164B2">
        <w:tc>
          <w:tcPr>
            <w:tcW w:w="2500" w:type="pct"/>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Директор</w:t>
            </w:r>
          </w:p>
        </w:tc>
        <w:tc>
          <w:tcPr>
            <w:tcW w:w="2500" w:type="pct"/>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М.М. Сидоров</w:t>
            </w:r>
          </w:p>
        </w:tc>
      </w:tr>
    </w:tbl>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УТВЕРЖДАЮ</w:t>
      </w:r>
    </w:p>
    <w:tbl>
      <w:tblPr>
        <w:tblW w:w="0" w:type="auto"/>
        <w:tblCellMar>
          <w:top w:w="15" w:type="dxa"/>
          <w:left w:w="15" w:type="dxa"/>
          <w:bottom w:w="15" w:type="dxa"/>
          <w:right w:w="15" w:type="dxa"/>
        </w:tblCellMar>
        <w:tblLook w:val="04A0"/>
      </w:tblPr>
      <w:tblGrid>
        <w:gridCol w:w="3806"/>
        <w:gridCol w:w="3806"/>
      </w:tblGrid>
      <w:tr w:rsidR="007164B2" w:rsidRPr="007164B2" w:rsidTr="007164B2">
        <w:tc>
          <w:tcPr>
            <w:tcW w:w="2500" w:type="pct"/>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Заместитель Министра просвещения</w:t>
            </w:r>
            <w:r w:rsidRPr="007164B2">
              <w:rPr>
                <w:rFonts w:ascii="Times New Roman" w:eastAsia="Times New Roman" w:hAnsi="Times New Roman" w:cs="Times New Roman"/>
                <w:sz w:val="24"/>
                <w:szCs w:val="24"/>
                <w:lang w:eastAsia="ru-RU"/>
              </w:rPr>
              <w:br/>
              <w:t>Российской Федерации</w:t>
            </w:r>
          </w:p>
        </w:tc>
        <w:tc>
          <w:tcPr>
            <w:tcW w:w="2500" w:type="pct"/>
            <w:hideMark/>
          </w:tcPr>
          <w:p w:rsidR="007164B2" w:rsidRPr="007164B2" w:rsidRDefault="007164B2" w:rsidP="007164B2">
            <w:pPr>
              <w:spacing w:after="0" w:line="240" w:lineRule="auto"/>
              <w:rPr>
                <w:rFonts w:ascii="Times New Roman" w:eastAsia="Times New Roman" w:hAnsi="Times New Roman" w:cs="Times New Roman"/>
                <w:sz w:val="24"/>
                <w:szCs w:val="24"/>
                <w:lang w:eastAsia="ru-RU"/>
              </w:rPr>
            </w:pPr>
            <w:r w:rsidRPr="007164B2">
              <w:rPr>
                <w:rFonts w:ascii="Times New Roman" w:eastAsia="Times New Roman" w:hAnsi="Times New Roman" w:cs="Times New Roman"/>
                <w:sz w:val="24"/>
                <w:szCs w:val="24"/>
                <w:lang w:eastAsia="ru-RU"/>
              </w:rPr>
              <w:t>B.C. Басюк</w:t>
            </w:r>
          </w:p>
        </w:tc>
      </w:tr>
    </w:tbl>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“___”_______ 2020 год</w:t>
      </w:r>
    </w:p>
    <w:p w:rsidR="007164B2" w:rsidRPr="007164B2" w:rsidRDefault="007164B2" w:rsidP="007164B2">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7164B2">
        <w:rPr>
          <w:rFonts w:ascii="Arial" w:eastAsia="Times New Roman" w:hAnsi="Arial" w:cs="Arial"/>
          <w:b/>
          <w:bCs/>
          <w:color w:val="4D4D4D"/>
          <w:sz w:val="27"/>
          <w:szCs w:val="27"/>
          <w:lang w:eastAsia="ru-RU"/>
        </w:rPr>
        <w:t>Обзор документа</w:t>
      </w:r>
    </w:p>
    <w:p w:rsidR="007164B2" w:rsidRPr="007164B2" w:rsidRDefault="00D43000" w:rsidP="007164B2">
      <w:pPr>
        <w:spacing w:before="255" w:after="255" w:line="240" w:lineRule="auto"/>
        <w:rPr>
          <w:rFonts w:ascii="Times New Roman" w:eastAsia="Times New Roman" w:hAnsi="Times New Roman" w:cs="Times New Roman"/>
          <w:sz w:val="24"/>
          <w:szCs w:val="24"/>
          <w:lang w:eastAsia="ru-RU"/>
        </w:rPr>
      </w:pPr>
      <w:r w:rsidRPr="00D43000">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 xml:space="preserve">Минпросвещения разработало </w:t>
      </w:r>
      <w:bookmarkStart w:id="2" w:name="_GoBack"/>
      <w:r w:rsidRPr="007164B2">
        <w:rPr>
          <w:rFonts w:ascii="Arial" w:eastAsia="Times New Roman" w:hAnsi="Arial" w:cs="Arial"/>
          <w:color w:val="333333"/>
          <w:sz w:val="23"/>
          <w:szCs w:val="23"/>
          <w:lang w:eastAsia="ru-RU"/>
        </w:rPr>
        <w:t xml:space="preserve">методические рекомендации по  обеспечению антитеррористической защищенности объектов </w:t>
      </w:r>
      <w:bookmarkEnd w:id="2"/>
      <w:r w:rsidRPr="007164B2">
        <w:rPr>
          <w:rFonts w:ascii="Arial" w:eastAsia="Times New Roman" w:hAnsi="Arial" w:cs="Arial"/>
          <w:color w:val="333333"/>
          <w:sz w:val="23"/>
          <w:szCs w:val="23"/>
          <w:lang w:eastAsia="ru-RU"/>
        </w:rPr>
        <w:t>(территорий) в своей сфере деятельности. В документе приводятся: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 классификация объектов (территорий) по степени опасности;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 порядок и сроки их категорирования и паспортизации;</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lastRenderedPageBreak/>
        <w:t>- процедура экспертной оценки состояния антитеррористической защищенности и безопасности объектов (территорий);</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 правила оформления результатов обследования;</w:t>
      </w:r>
    </w:p>
    <w:p w:rsidR="007164B2" w:rsidRPr="007164B2" w:rsidRDefault="007164B2" w:rsidP="007164B2">
      <w:pPr>
        <w:shd w:val="clear" w:color="auto" w:fill="FFFFFF"/>
        <w:spacing w:after="255" w:line="270" w:lineRule="atLeast"/>
        <w:rPr>
          <w:rFonts w:ascii="Arial" w:eastAsia="Times New Roman" w:hAnsi="Arial" w:cs="Arial"/>
          <w:color w:val="333333"/>
          <w:sz w:val="23"/>
          <w:szCs w:val="23"/>
          <w:lang w:eastAsia="ru-RU"/>
        </w:rPr>
      </w:pPr>
      <w:r w:rsidRPr="007164B2">
        <w:rPr>
          <w:rFonts w:ascii="Arial" w:eastAsia="Times New Roman" w:hAnsi="Arial" w:cs="Arial"/>
          <w:color w:val="333333"/>
          <w:sz w:val="23"/>
          <w:szCs w:val="23"/>
          <w:lang w:eastAsia="ru-RU"/>
        </w:rPr>
        <w:t>- порядок взаимодействия с органами безопасности, МВД и нацгвардии.</w:t>
      </w:r>
    </w:p>
    <w:p w:rsidR="001A701A" w:rsidRDefault="001A701A"/>
    <w:sectPr w:rsidR="001A701A" w:rsidSect="00D43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164B2"/>
    <w:rsid w:val="00063782"/>
    <w:rsid w:val="001A701A"/>
    <w:rsid w:val="007164B2"/>
    <w:rsid w:val="00D43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9030495">
      <w:bodyDiv w:val="1"/>
      <w:marLeft w:val="0"/>
      <w:marRight w:val="0"/>
      <w:marTop w:val="0"/>
      <w:marBottom w:val="0"/>
      <w:divBdr>
        <w:top w:val="none" w:sz="0" w:space="0" w:color="auto"/>
        <w:left w:val="none" w:sz="0" w:space="0" w:color="auto"/>
        <w:bottom w:val="none" w:sz="0" w:space="0" w:color="auto"/>
        <w:right w:val="none" w:sz="0" w:space="0" w:color="auto"/>
      </w:divBdr>
      <w:divsChild>
        <w:div w:id="1078865467">
          <w:marLeft w:val="0"/>
          <w:marRight w:val="0"/>
          <w:marTop w:val="0"/>
          <w:marBottom w:val="180"/>
          <w:divBdr>
            <w:top w:val="none" w:sz="0" w:space="0" w:color="auto"/>
            <w:left w:val="none" w:sz="0" w:space="0" w:color="auto"/>
            <w:bottom w:val="none" w:sz="0" w:space="0" w:color="auto"/>
            <w:right w:val="none" w:sz="0" w:space="0" w:color="auto"/>
          </w:divBdr>
        </w:div>
        <w:div w:id="46684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472690/" TargetMode="External"/><Relationship Id="rId13" Type="http://schemas.openxmlformats.org/officeDocument/2006/relationships/hyperlink" Target="https://www.garant.ru/products/ipo/prime/doc/73472690/" TargetMode="External"/><Relationship Id="rId18" Type="http://schemas.openxmlformats.org/officeDocument/2006/relationships/hyperlink" Target="https://www.garant.ru/products/ipo/prime/doc/7347269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arant.ru/products/ipo/prime/doc/73472690/" TargetMode="External"/><Relationship Id="rId7" Type="http://schemas.openxmlformats.org/officeDocument/2006/relationships/hyperlink" Target="https://www.garant.ru/products/ipo/prime/doc/73472690/" TargetMode="External"/><Relationship Id="rId12" Type="http://schemas.openxmlformats.org/officeDocument/2006/relationships/hyperlink" Target="https://www.garant.ru/products/ipo/prime/doc/73472690/" TargetMode="External"/><Relationship Id="rId17" Type="http://schemas.openxmlformats.org/officeDocument/2006/relationships/hyperlink" Target="https://www.garant.ru/products/ipo/prime/doc/7347269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arant.ru/products/ipo/prime/doc/73472690/" TargetMode="External"/><Relationship Id="rId20" Type="http://schemas.openxmlformats.org/officeDocument/2006/relationships/hyperlink" Target="https://www.garant.ru/products/ipo/prime/doc/73472690/" TargetMode="External"/><Relationship Id="rId1" Type="http://schemas.openxmlformats.org/officeDocument/2006/relationships/styles" Target="styles.xml"/><Relationship Id="rId6" Type="http://schemas.openxmlformats.org/officeDocument/2006/relationships/hyperlink" Target="https://www.garant.ru/products/ipo/prime/doc/73472690/" TargetMode="External"/><Relationship Id="rId11" Type="http://schemas.openxmlformats.org/officeDocument/2006/relationships/hyperlink" Target="https://www.garant.ru/products/ipo/prime/doc/73472690/" TargetMode="External"/><Relationship Id="rId24" Type="http://schemas.openxmlformats.org/officeDocument/2006/relationships/hyperlink" Target="https://www.garant.ru/products/ipo/prime/doc/73472690/" TargetMode="External"/><Relationship Id="rId5" Type="http://schemas.openxmlformats.org/officeDocument/2006/relationships/hyperlink" Target="https://www.garant.ru/products/ipo/prime/doc/73472690/" TargetMode="External"/><Relationship Id="rId15" Type="http://schemas.openxmlformats.org/officeDocument/2006/relationships/hyperlink" Target="https://www.garant.ru/products/ipo/prime/doc/73472690/" TargetMode="External"/><Relationship Id="rId23" Type="http://schemas.openxmlformats.org/officeDocument/2006/relationships/hyperlink" Target="https://www.garant.ru/products/ipo/prime/doc/73472690/" TargetMode="External"/><Relationship Id="rId10" Type="http://schemas.openxmlformats.org/officeDocument/2006/relationships/hyperlink" Target="https://www.garant.ru/products/ipo/prime/doc/73472690/" TargetMode="External"/><Relationship Id="rId19" Type="http://schemas.openxmlformats.org/officeDocument/2006/relationships/hyperlink" Target="https://www.garant.ru/products/ipo/prime/doc/73472690/" TargetMode="External"/><Relationship Id="rId4" Type="http://schemas.openxmlformats.org/officeDocument/2006/relationships/hyperlink" Target="https://www.garant.ru/products/ipo/prime/doc/73472690/" TargetMode="External"/><Relationship Id="rId9" Type="http://schemas.openxmlformats.org/officeDocument/2006/relationships/hyperlink" Target="https://www.garant.ru/products/ipo/prime/doc/73472690/" TargetMode="External"/><Relationship Id="rId14" Type="http://schemas.openxmlformats.org/officeDocument/2006/relationships/hyperlink" Target="https://www.garant.ru/products/ipo/prime/doc/73472690/" TargetMode="External"/><Relationship Id="rId22" Type="http://schemas.openxmlformats.org/officeDocument/2006/relationships/hyperlink" Target="https://www.garant.ru/products/ipo/prime/doc/7347269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9453</Words>
  <Characters>53886</Characters>
  <Application>Microsoft Office Word</Application>
  <DocSecurity>0</DocSecurity>
  <Lines>449</Lines>
  <Paragraphs>126</Paragraphs>
  <ScaleCrop>false</ScaleCrop>
  <Company>Microsoft</Company>
  <LinksUpToDate>false</LinksUpToDate>
  <CharactersWithSpaces>63213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ПК</cp:lastModifiedBy>
  <cp:revision>2</cp:revision>
  <dcterms:created xsi:type="dcterms:W3CDTF">2023-11-05T10:45:00Z</dcterms:created>
  <dcterms:modified xsi:type="dcterms:W3CDTF">2023-11-05T10:45:00Z</dcterms:modified>
</cp:coreProperties>
</file>